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560" w:lineRule="exact"/>
        <w:ind w:left="0" w:leftChars="0" w:firstLine="0" w:firstLineChars="0"/>
        <w:rPr>
          <w:rFonts w:hint="default" w:ascii="Times New Roman" w:hAnsi="Times New Roman" w:eastAsia="仿宋" w:cs="Times New Roman"/>
          <w:b w:val="0"/>
          <w:bCs w:val="0"/>
          <w:spacing w:val="0"/>
          <w:sz w:val="32"/>
          <w:szCs w:val="32"/>
          <w:lang w:eastAsia="zh"/>
        </w:rPr>
      </w:pPr>
      <w:r>
        <w:rPr>
          <w:rFonts w:hint="default" w:ascii="Times New Roman" w:hAnsi="Times New Roman" w:eastAsia="黑体" w:cs="Times New Roman"/>
          <w:b w:val="0"/>
          <w:bCs w:val="0"/>
          <w:spacing w:val="0"/>
          <w:sz w:val="32"/>
          <w:szCs w:val="32"/>
          <w:lang w:eastAsia="zh"/>
        </w:rPr>
        <w:t>附件</w:t>
      </w:r>
      <w:r>
        <w:rPr>
          <w:rFonts w:hint="default" w:ascii="Times New Roman" w:hAnsi="Times New Roman" w:cs="Times New Roman"/>
          <w:b w:val="0"/>
          <w:bCs w:val="0"/>
          <w:spacing w:val="0"/>
          <w:sz w:val="32"/>
          <w:szCs w:val="32"/>
          <w:lang w:eastAsia="zh"/>
        </w:rPr>
        <w:t>1</w:t>
      </w:r>
    </w:p>
    <w:p>
      <w:pPr>
        <w:pStyle w:val="12"/>
        <w:spacing w:line="560" w:lineRule="exact"/>
        <w:rPr>
          <w:rFonts w:hint="default" w:ascii="Times New Roman" w:hAnsi="Times New Roman" w:eastAsia="仿宋" w:cs="Times New Roman"/>
          <w:b/>
          <w:spacing w:val="0"/>
          <w:sz w:val="32"/>
          <w:szCs w:val="32"/>
        </w:rPr>
      </w:pPr>
    </w:p>
    <w:p>
      <w:pPr>
        <w:pStyle w:val="12"/>
        <w:spacing w:line="560" w:lineRule="exact"/>
        <w:ind w:left="0" w:leftChars="0" w:firstLine="0" w:firstLineChars="0"/>
        <w:jc w:val="center"/>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中山市卫生健康局2025年行政许可</w:t>
      </w:r>
    </w:p>
    <w:p>
      <w:pPr>
        <w:pStyle w:val="12"/>
        <w:spacing w:line="560" w:lineRule="exact"/>
        <w:ind w:left="0" w:leftChars="0" w:firstLine="0" w:firstLineChars="0"/>
        <w:jc w:val="center"/>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实施和监督管理情况报告</w:t>
      </w:r>
    </w:p>
    <w:p>
      <w:pPr>
        <w:pStyle w:val="12"/>
        <w:bidi w:val="0"/>
        <w:spacing w:beforeAutospacing="0" w:afterAutospacing="0" w:line="560" w:lineRule="exact"/>
        <w:rPr>
          <w:rFonts w:hint="default" w:ascii="Times New Roman" w:hAnsi="Times New Roman" w:cs="Times New Roman"/>
          <w:spacing w:val="0"/>
        </w:rPr>
      </w:pPr>
    </w:p>
    <w:p>
      <w:pPr>
        <w:pStyle w:val="27"/>
        <w:spacing w:line="560" w:lineRule="exact"/>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市政府：</w:t>
      </w:r>
    </w:p>
    <w:p>
      <w:pPr>
        <w:pStyle w:val="12"/>
        <w:spacing w:line="560" w:lineRule="exact"/>
        <w:ind w:left="0" w:leftChars="0" w:right="0" w:rightChars="0"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根据《关于开展行政许可实施和监督管理情况年度报告工作的通知》要求，现将我局2025年行政许可实施和监督管理情况报告如下：</w:t>
      </w:r>
    </w:p>
    <w:p>
      <w:pPr>
        <w:pStyle w:val="2"/>
        <w:numPr>
          <w:ilvl w:val="0"/>
          <w:numId w:val="0"/>
        </w:numPr>
        <w:topLinePunct w:val="0"/>
        <w:spacing w:beforeLines="0" w:line="560" w:lineRule="exact"/>
        <w:ind w:left="0" w:leftChars="0" w:right="0" w:rightChars="0" w:firstLine="640" w:firstLineChars="200"/>
        <w:rPr>
          <w:rFonts w:hint="default" w:ascii="Times New Roman" w:hAnsi="Times New Roman" w:eastAsia="黑体" w:cs="Times New Roman"/>
          <w:b w:val="0"/>
          <w:spacing w:val="0"/>
        </w:rPr>
      </w:pPr>
      <w:r>
        <w:rPr>
          <w:rFonts w:hint="default" w:ascii="Times New Roman" w:hAnsi="Times New Roman" w:eastAsia="黑体" w:cs="Times New Roman"/>
          <w:spacing w:val="0"/>
          <w:lang w:eastAsia="zh-CN"/>
        </w:rPr>
        <w:t>一、</w:t>
      </w:r>
      <w:r>
        <w:rPr>
          <w:rFonts w:hint="default" w:ascii="Times New Roman" w:hAnsi="Times New Roman" w:eastAsia="黑体" w:cs="Times New Roman"/>
          <w:spacing w:val="0"/>
        </w:rPr>
        <w:t>基本情况</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（一）</w:t>
      </w:r>
      <w:r>
        <w:rPr>
          <w:rStyle w:val="28"/>
          <w:rFonts w:hint="default" w:ascii="Times New Roman" w:hAnsi="Times New Roman" w:eastAsia="楷体_GB2312" w:cs="Times New Roman"/>
          <w:spacing w:val="0"/>
        </w:rPr>
        <w:t>现有事项及办理情况</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sz w:val="32"/>
          <w:szCs w:val="32"/>
        </w:rPr>
        <w:t>2025年，我局实施的行政许可审批事项共108项（含子项），全年共受理业务19557件，按时办结率保持100％。所有事项均已进驻广东省政务服务网中山分站，本年度我局无取消、转移许可事项。</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（二）</w:t>
      </w:r>
      <w:r>
        <w:rPr>
          <w:rStyle w:val="28"/>
          <w:rFonts w:hint="default" w:ascii="Times New Roman" w:hAnsi="Times New Roman" w:eastAsia="楷体_GB2312" w:cs="Times New Roman"/>
          <w:spacing w:val="0"/>
        </w:rPr>
        <w:t>依法实施情况</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sz w:val="32"/>
          <w:szCs w:val="32"/>
        </w:rPr>
        <w:t>我局严格按照《中华人民共和国行政许可法》《广东省行政许可监督管理条例》等相关法律法规规定的权限、范围、程序和条件开展行政许可工作。全力配合市政数局落实“对标排查”“政务服务质量提升专项工作”“涉企政务服务上线粤省事平台法人版”“智能帮办”“综合窗口改革”等行政审批改革工作。本年度，未发现违法违规审批情况，窗口服务实现零投诉，行政许可受理按时办结率达100％，办事群众好评率达100％，实现了无差错、无超时、无违纪的工作目标。</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（三）</w:t>
      </w:r>
      <w:r>
        <w:rPr>
          <w:rStyle w:val="28"/>
          <w:rFonts w:hint="default" w:ascii="Times New Roman" w:hAnsi="Times New Roman" w:eastAsia="楷体_GB2312" w:cs="Times New Roman"/>
          <w:spacing w:val="0"/>
        </w:rPr>
        <w:t>公开公示情况</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sz w:val="32"/>
          <w:szCs w:val="32"/>
        </w:rPr>
        <w:t>我局持续推进行政服务质量的提升，不断完善服务体系，以更好地满足人民群众的需求。事前公示方面，加强对广东省政务服务事项管理系统的定期维护，确保其运行顺畅。同时，在广东政务服务网公开公示许可事项及其配套服务的关键信息和办事指南，为办理群众提供清晰明确的指引。审批过程中，群众可通过广东政务服务网随时查询许可事项的网上办理状态及审批结果等详细信息。本年度新增的三个“医疗机构建设项目放射性职业病危害预评价报告审核”“医疗机构建设项目放射性职业病防护设施竣工验收”“母婴保健服务人员资格认定”行政许可事项已通过中山市公共信用信息管理系统进行网上公示，许可决定作出后7个工作日内，相关信息将在信用中山网站进行公示，方便群众查询，进一步保障社会公众的知情权，同时接受广大群众的监督。12345平台、局门户网站均提供了网上信访渠道，欢迎广大市民提出宝贵意见和建议，营造一个更加公正、公平、公开的政务环境。</w:t>
      </w:r>
    </w:p>
    <w:p>
      <w:pPr>
        <w:pStyle w:val="12"/>
        <w:spacing w:line="560" w:lineRule="exact"/>
        <w:ind w:left="0" w:leftChars="0" w:right="0" w:rightChars="0" w:firstLine="640" w:firstLineChars="200"/>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此外，针对部分群众较为关注的涉企高频查询事项，如“消毒产品生产企业（一次性使用医疗用品的生产企业除外）卫生许可”“医疗广告（中医类）审查证明核发”“医疗广告审查（不含中医医疗广告）”“涉及饮用水卫生安全产品卫生许可”的许可结</w:t>
      </w:r>
      <w:r>
        <w:rPr>
          <w:rFonts w:hint="default" w:ascii="Times New Roman" w:hAnsi="Times New Roman" w:eastAsia="仿宋_GB2312" w:cs="Times New Roman"/>
          <w:spacing wpsCustomData:val="0" w:val="6"/>
          <w:sz w:val="32"/>
          <w:szCs w:val="32"/>
        </w:rPr>
        <w:t>果，我们将按季度在局门户网站进行公示，丰富信息公</w:t>
      </w:r>
      <w:r>
        <w:rPr>
          <w:rFonts w:hint="default" w:ascii="Times New Roman" w:hAnsi="Times New Roman" w:eastAsia="仿宋_GB2312" w:cs="Times New Roman"/>
          <w:spacing w:val="0"/>
          <w:sz w:val="32"/>
          <w:szCs w:val="32"/>
        </w:rPr>
        <w:t>开渠道。</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rPr>
        <w:t>（四）监督管理情况</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sz w:val="32"/>
          <w:szCs w:val="32"/>
        </w:rPr>
        <w:t>聚焦全领域，2025年，组织开展各类专项检查及行动24项，坚决查处各类违法违规行为，有力维护卫生行业秩序。全市应监督单位19674户，开展监督检查户次数22194户次。全市共受理各类投诉举报约1700宗，作出行政处罚710宗；罚没金额约445.62万元。</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（五）</w:t>
      </w:r>
      <w:r>
        <w:rPr>
          <w:rStyle w:val="28"/>
          <w:rFonts w:hint="default" w:ascii="Times New Roman" w:hAnsi="Times New Roman" w:eastAsia="楷体_GB2312" w:cs="Times New Roman"/>
          <w:spacing w:val="0"/>
        </w:rPr>
        <w:t>实施效果概况</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sz w:val="32"/>
          <w:szCs w:val="32"/>
        </w:rPr>
        <w:t>2025年，我局对标先进经验，承诺办理时限、材料简化程度已达到省内领先水平。积极探索审批服务改革，充分利用电子证照共享应用与数据实时比对核验等现代化技术手段，确保公共场所卫生许可告知承诺制事项“秒批”运行顺畅，既提升了审批效率，更为后续其他行政许可事项推行“智能帮办”奠定了坚实的基础。今年，我局还创新建立了审批业务疑难问题“一张表”工作机制，有效降低了基层审批人</w:t>
      </w:r>
      <w:r>
        <w:rPr>
          <w:rFonts w:hint="default" w:ascii="Times New Roman" w:hAnsi="Times New Roman" w:eastAsia="仿宋_GB2312" w:cs="Times New Roman"/>
          <w:spacing wpsCustomData:val="-6" w:val="0"/>
          <w:sz w:val="32"/>
          <w:szCs w:val="32"/>
        </w:rPr>
        <w:t>员的学习成本，进一步提升了审批业务的规范化水平和处理</w:t>
      </w:r>
      <w:r>
        <w:rPr>
          <w:rFonts w:hint="default" w:ascii="Times New Roman" w:hAnsi="Times New Roman" w:eastAsia="仿宋_GB2312" w:cs="Times New Roman"/>
          <w:spacing w:val="0"/>
          <w:sz w:val="32"/>
          <w:szCs w:val="32"/>
        </w:rPr>
        <w:t>效率。</w:t>
      </w:r>
    </w:p>
    <w:p>
      <w:pPr>
        <w:pStyle w:val="2"/>
        <w:numPr>
          <w:ilvl w:val="0"/>
          <w:numId w:val="0"/>
        </w:numPr>
        <w:topLinePunct w:val="0"/>
        <w:spacing w:beforeLines="0" w:line="560" w:lineRule="exact"/>
        <w:ind w:left="0" w:leftChars="0" w:right="0" w:rightChars="0" w:firstLine="640" w:firstLineChars="200"/>
        <w:rPr>
          <w:rFonts w:hint="default" w:ascii="Times New Roman" w:hAnsi="Times New Roman" w:eastAsia="黑体" w:cs="Times New Roman"/>
          <w:b w:val="0"/>
          <w:spacing w:val="0"/>
        </w:rPr>
      </w:pPr>
      <w:r>
        <w:rPr>
          <w:rFonts w:hint="default" w:ascii="Times New Roman" w:hAnsi="Times New Roman" w:eastAsia="黑体" w:cs="Times New Roman"/>
          <w:spacing w:val="0"/>
          <w:lang w:eastAsia="zh-CN"/>
        </w:rPr>
        <w:t>二、</w:t>
      </w:r>
      <w:r>
        <w:rPr>
          <w:rFonts w:hint="default" w:ascii="Times New Roman" w:hAnsi="Times New Roman" w:eastAsia="黑体" w:cs="Times New Roman"/>
          <w:spacing w:val="0"/>
        </w:rPr>
        <w:t>存在问题和困难</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（一）</w:t>
      </w:r>
      <w:r>
        <w:rPr>
          <w:rStyle w:val="28"/>
          <w:rFonts w:hint="default" w:ascii="Times New Roman" w:hAnsi="Times New Roman" w:eastAsia="楷体_GB2312" w:cs="Times New Roman"/>
          <w:spacing w:val="0"/>
        </w:rPr>
        <w:t>部分许可信息公示衔接不畅</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color w:val="auto"/>
          <w:spacing w:val="0"/>
          <w:sz w:val="32"/>
          <w:szCs w:val="32"/>
        </w:rPr>
        <w:t>中山市公共信用信息管理系统与广东省行政执法信息公示平台数据无法共享</w:t>
      </w:r>
      <w:r>
        <w:rPr>
          <w:rFonts w:hint="default" w:ascii="Times New Roman" w:hAnsi="Times New Roman" w:eastAsia="仿宋_GB2312" w:cs="Times New Roman"/>
          <w:spacing w:val="0"/>
          <w:sz w:val="32"/>
          <w:szCs w:val="32"/>
        </w:rPr>
        <w:t>，经办人需分别将许可结果上传至两个网站，效率不高且产生两平台公示数量不一致的情况。</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color w:val="auto"/>
          <w:spacing w:val="0"/>
          <w:sz w:val="32"/>
          <w:szCs w:val="32"/>
        </w:rPr>
      </w:pPr>
      <w:r>
        <w:rPr>
          <w:rStyle w:val="28"/>
          <w:rFonts w:hint="default" w:ascii="Times New Roman" w:hAnsi="Times New Roman" w:eastAsia="楷体_GB2312" w:cs="Times New Roman"/>
          <w:spacing w:val="0"/>
          <w:lang w:eastAsia="zh-CN"/>
        </w:rPr>
        <w:t>（二）</w:t>
      </w:r>
      <w:r>
        <w:rPr>
          <w:rStyle w:val="28"/>
          <w:rFonts w:hint="default" w:ascii="Times New Roman" w:hAnsi="Times New Roman" w:eastAsia="楷体_GB2312" w:cs="Times New Roman"/>
          <w:spacing w:val="0"/>
        </w:rPr>
        <w:t>推进“综合窗口”改革遇到瓶颈</w:t>
      </w:r>
      <w:r>
        <w:rPr>
          <w:rFonts w:hint="default" w:ascii="Times New Roman" w:hAnsi="Times New Roman" w:eastAsia="楷体_GB2312" w:cs="Times New Roman"/>
          <w:color w:val="auto"/>
          <w:spacing w:val="0"/>
          <w:sz w:val="32"/>
          <w:szCs w:val="32"/>
        </w:rPr>
        <w:t>。</w:t>
      </w:r>
      <w:r>
        <w:rPr>
          <w:rFonts w:hint="default" w:ascii="Times New Roman" w:hAnsi="Times New Roman" w:eastAsia="仿宋_GB2312" w:cs="Times New Roman"/>
          <w:color w:val="auto"/>
          <w:spacing w:val="0"/>
          <w:sz w:val="32"/>
          <w:szCs w:val="32"/>
        </w:rPr>
        <w:t>由于业务的复杂性以及现有业务系统存在短板、人力资源短缺，我局目前除“高效办成一件事”事项清单内事项外，绝大部分事项业务仍需由业务窗口分窗办理，无法实现“一窗通办”。</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（三）</w:t>
      </w:r>
      <w:r>
        <w:rPr>
          <w:rStyle w:val="28"/>
          <w:rFonts w:hint="default" w:ascii="Times New Roman" w:hAnsi="Times New Roman" w:eastAsia="楷体_GB2312" w:cs="Times New Roman"/>
          <w:spacing w:val="0"/>
        </w:rPr>
        <w:t>不见面审批推进仍存在一定困难</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sz w:val="32"/>
          <w:szCs w:val="32"/>
        </w:rPr>
        <w:t>受到当前技术支持限制，包括：电子证照系统维护，大部分电子证照信息仍停留在历史版本；大部分电子证照对沿革信息难以较好记录，无法与实体证件信息完整对应；卫健审批事项缺乏自助打证系统支持；申请人提交的电子材料归档方法不明确等。群众期盼的不见面审批功能对大部分项目仍无法覆盖。</w:t>
      </w:r>
    </w:p>
    <w:p>
      <w:pPr>
        <w:pStyle w:val="2"/>
        <w:numPr>
          <w:ilvl w:val="0"/>
          <w:numId w:val="0"/>
        </w:numPr>
        <w:topLinePunct w:val="0"/>
        <w:spacing w:beforeLines="0" w:line="560" w:lineRule="exact"/>
        <w:ind w:left="0" w:leftChars="0" w:right="0" w:rightChars="0" w:firstLine="640" w:firstLineChars="200"/>
        <w:rPr>
          <w:rFonts w:hint="default" w:ascii="Times New Roman" w:hAnsi="Times New Roman" w:eastAsia="黑体" w:cs="Times New Roman"/>
          <w:b w:val="0"/>
          <w:spacing w:val="0"/>
        </w:rPr>
      </w:pPr>
      <w:r>
        <w:rPr>
          <w:rFonts w:hint="default" w:ascii="Times New Roman" w:hAnsi="Times New Roman" w:eastAsia="黑体" w:cs="Times New Roman"/>
          <w:spacing w:val="0"/>
          <w:lang w:eastAsia="zh-CN"/>
        </w:rPr>
        <w:t>三、</w:t>
      </w:r>
      <w:r>
        <w:rPr>
          <w:rFonts w:hint="default" w:ascii="Times New Roman" w:hAnsi="Times New Roman" w:eastAsia="黑体" w:cs="Times New Roman"/>
          <w:spacing w:val="0"/>
        </w:rPr>
        <w:t>下一步工作措施和建议</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（一）</w:t>
      </w:r>
      <w:r>
        <w:rPr>
          <w:rStyle w:val="28"/>
          <w:rFonts w:hint="default" w:ascii="Times New Roman" w:hAnsi="Times New Roman" w:eastAsia="楷体_GB2312" w:cs="Times New Roman"/>
          <w:spacing w:val="0"/>
        </w:rPr>
        <w:t>加强业务培训</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spacing w:val="0"/>
          <w:sz w:val="32"/>
          <w:szCs w:val="32"/>
        </w:rPr>
        <w:t>健全常态化培训机制，每季度针对高频事项、新颁法规及系统操作开展专题轮训，重点强化跨域通办、全程网办等业务流程规范化实操能力。推行案例教学，梳理审批难点和常见错误类型形成业务手册，提升一线人员应对复杂问题的专业水平。</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（二）</w:t>
      </w:r>
      <w:r>
        <w:rPr>
          <w:rStyle w:val="28"/>
          <w:rFonts w:hint="default" w:ascii="Times New Roman" w:hAnsi="Times New Roman" w:eastAsia="楷体_GB2312" w:cs="Times New Roman"/>
          <w:spacing w:val="0"/>
        </w:rPr>
        <w:t>深入探索</w:t>
      </w:r>
      <w:r>
        <w:rPr>
          <w:rStyle w:val="28"/>
          <w:rFonts w:hint="default" w:ascii="Times New Roman" w:hAnsi="Times New Roman" w:eastAsia="楷体_GB2312" w:cs="Times New Roman"/>
          <w:spacing w:val="0"/>
          <w:lang w:val="en-US" w:eastAsia="zh-CN"/>
        </w:rPr>
        <w:t>AI</w:t>
      </w:r>
      <w:r>
        <w:rPr>
          <w:rStyle w:val="28"/>
          <w:rFonts w:hint="default" w:ascii="Times New Roman" w:hAnsi="Times New Roman" w:eastAsia="楷体_GB2312" w:cs="Times New Roman"/>
          <w:spacing w:val="0"/>
        </w:rPr>
        <w:t>赋能</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color w:val="auto"/>
          <w:spacing w:val="0"/>
          <w:sz w:val="32"/>
          <w:szCs w:val="32"/>
        </w:rPr>
        <w:t>在政数部门所提供的智能帮办及AI赋能等服务功能的基础上，进一步提升AI在卫生健康审批辅助功能中的可用性和精准度。积极探索运用大模型技术，结合现行的政策与标准，构建一个全面且专业的卫生健康审批知识库，为具体的业务分析与决策提供强有力的支持与指导。精心挑选与当前AI能力相匹配的应用场景，通过OCR识别、语义分析等先进技术，辅助进行申请材料的准确性与完整性识别，及时给予提醒，有效减轻工作人员的审核压力，显著提升工作效率与准确性。</w:t>
      </w:r>
    </w:p>
    <w:p>
      <w:pPr>
        <w:pStyle w:val="12"/>
        <w:numPr>
          <w:ilvl w:val="0"/>
          <w:numId w:val="0"/>
        </w:numPr>
        <w:topLinePunct w:val="0"/>
        <w:spacing w:line="560" w:lineRule="exact"/>
        <w:ind w:left="0" w:leftChars="0" w:right="0" w:rightChars="0" w:firstLine="640" w:firstLineChars="200"/>
        <w:rPr>
          <w:rFonts w:hint="default" w:ascii="Times New Roman" w:hAnsi="Times New Roman" w:eastAsia="仿宋_GB2312" w:cs="Times New Roman"/>
          <w:b w:val="0"/>
          <w:spacing w:val="0"/>
          <w:sz w:val="32"/>
          <w:szCs w:val="32"/>
        </w:rPr>
      </w:pPr>
      <w:r>
        <w:rPr>
          <w:rStyle w:val="28"/>
          <w:rFonts w:hint="default" w:ascii="Times New Roman" w:hAnsi="Times New Roman" w:eastAsia="楷体_GB2312" w:cs="Times New Roman"/>
          <w:spacing w:val="0"/>
          <w:lang w:eastAsia="zh-CN"/>
        </w:rPr>
        <w:t>（三）</w:t>
      </w:r>
      <w:r>
        <w:rPr>
          <w:rStyle w:val="28"/>
          <w:rFonts w:hint="default" w:ascii="Times New Roman" w:hAnsi="Times New Roman" w:eastAsia="楷体_GB2312" w:cs="Times New Roman"/>
          <w:spacing w:val="0"/>
        </w:rPr>
        <w:t>建议加大对审批系统的升级改造与资金投入力度</w:t>
      </w:r>
      <w:r>
        <w:rPr>
          <w:rFonts w:hint="default" w:ascii="Times New Roman" w:hAnsi="Times New Roman" w:eastAsia="楷体_GB2312" w:cs="Times New Roman"/>
          <w:spacing w:val="0"/>
          <w:sz w:val="32"/>
          <w:szCs w:val="32"/>
        </w:rPr>
        <w:t>。</w:t>
      </w:r>
      <w:r>
        <w:rPr>
          <w:rFonts w:hint="default" w:ascii="Times New Roman" w:hAnsi="Times New Roman" w:eastAsia="仿宋_GB2312" w:cs="Times New Roman"/>
          <w:color w:val="auto"/>
          <w:spacing w:val="0"/>
          <w:sz w:val="32"/>
          <w:szCs w:val="32"/>
        </w:rPr>
        <w:t>针对相关工作需求，积极向</w:t>
      </w:r>
      <w:bookmarkStart w:id="0" w:name="_GoBack"/>
      <w:bookmarkEnd w:id="0"/>
      <w:r>
        <w:rPr>
          <w:rFonts w:hint="default" w:ascii="Times New Roman" w:hAnsi="Times New Roman" w:eastAsia="仿宋_GB2312" w:cs="Times New Roman"/>
          <w:color w:val="auto"/>
          <w:spacing w:val="0"/>
          <w:sz w:val="32"/>
          <w:szCs w:val="32"/>
        </w:rPr>
        <w:t>国家、省、市级相关部门提出建设性意见，努力推动证照共享链路的畅通，借助先进的技术手段，全力支持和促进服务改革的深化与发展。通过这一系列举措，旨在构建更加高效、便捷、智能的政务服务体系，为人民</w:t>
      </w:r>
      <w:r>
        <w:rPr>
          <w:rFonts w:hint="default" w:ascii="Times New Roman" w:hAnsi="Times New Roman" w:eastAsia="仿宋_GB2312" w:cs="Times New Roman"/>
          <w:color w:val="auto"/>
          <w:spacing wpsCustomData:val="0" w:val="6"/>
          <w:sz w:val="32"/>
          <w:szCs w:val="32"/>
        </w:rPr>
        <w:t>群众提供更加优质的服务体验，共同推动社会进步与和</w:t>
      </w:r>
      <w:r>
        <w:rPr>
          <w:rFonts w:hint="default" w:ascii="Times New Roman" w:hAnsi="Times New Roman" w:eastAsia="仿宋_GB2312" w:cs="Times New Roman"/>
          <w:color w:val="auto"/>
          <w:spacing w:val="0"/>
          <w:sz w:val="32"/>
          <w:szCs w:val="32"/>
        </w:rPr>
        <w:t>谐发展。</w:t>
      </w:r>
    </w:p>
    <w:p>
      <w:pPr>
        <w:pStyle w:val="12"/>
        <w:spacing w:line="560" w:lineRule="exact"/>
        <w:rPr>
          <w:rFonts w:hint="default" w:ascii="Times New Roman" w:hAnsi="Times New Roman" w:eastAsia="仿宋_GB2312" w:cs="Times New Roman"/>
          <w:spacing w:val="0"/>
          <w:sz w:val="32"/>
          <w:szCs w:val="32"/>
        </w:rPr>
      </w:pPr>
    </w:p>
    <w:p>
      <w:pPr>
        <w:pStyle w:val="12"/>
        <w:spacing w:line="560" w:lineRule="exact"/>
        <w:rPr>
          <w:rFonts w:hint="default" w:ascii="Times New Roman" w:hAnsi="Times New Roman" w:eastAsia="仿宋_GB2312" w:cs="Times New Roman"/>
          <w:spacing w:val="0"/>
          <w:sz w:val="32"/>
          <w:szCs w:val="32"/>
          <w:lang w:eastAsia="zh-CN"/>
        </w:rPr>
      </w:pPr>
    </w:p>
    <w:p>
      <w:pPr>
        <w:spacing w:line="560" w:lineRule="exact"/>
        <w:ind w:right="1440" w:rightChars="400"/>
        <w:jc w:val="right"/>
        <w:rPr>
          <w:rFonts w:hint="default" w:ascii="Times New Roman" w:hAnsi="Times New Roman" w:eastAsia="仿宋_GB2312" w:cs="Times New Roman"/>
          <w:spacing w:val="0"/>
          <w:lang w:eastAsia="zh-CN"/>
        </w:rPr>
      </w:pPr>
      <w:r>
        <w:rPr>
          <w:rFonts w:hint="default" w:ascii="Times New Roman" w:hAnsi="Times New Roman" w:eastAsia="仿宋_GB2312" w:cs="Times New Roman"/>
          <w:spacing w:val="0"/>
          <w:lang w:eastAsia="zh-CN"/>
        </w:rPr>
        <w:t>中山市卫生健康局</w:t>
      </w:r>
    </w:p>
    <w:p>
      <w:pPr>
        <w:spacing w:line="560" w:lineRule="exact"/>
        <w:ind w:right="1440" w:rightChars="400"/>
        <w:jc w:val="right"/>
        <w:rPr>
          <w:rFonts w:hint="default" w:ascii="Times New Roman" w:hAnsi="Times New Roman" w:eastAsia="仿宋_GB2312" w:cs="Times New Roman"/>
          <w:spacing w:val="0"/>
          <w:lang w:eastAsia="zh-CN"/>
        </w:rPr>
      </w:pPr>
      <w:r>
        <w:rPr>
          <w:rFonts w:hint="default" w:ascii="Times New Roman" w:hAnsi="Times New Roman" w:eastAsia="仿宋_GB2312" w:cs="Times New Roman"/>
          <w:spacing w:val="0"/>
          <w:lang w:eastAsia="zh-CN"/>
        </w:rPr>
        <w:t>2026年3月25日</w:t>
      </w:r>
    </w:p>
    <w:sectPr>
      <w:headerReference r:id="rId5" w:type="default"/>
      <w:footerReference r:id="rId7" w:type="default"/>
      <w:headerReference r:id="rId6" w:type="even"/>
      <w:footerReference r:id="rId8" w:type="even"/>
      <w:pgSz w:w="11906" w:h="16838"/>
      <w:pgMar w:top="2098" w:right="1474" w:bottom="1984" w:left="1587" w:header="851" w:footer="1361" w:gutter="0"/>
      <w:pgNumType w:fmt="decimal" w:start="1"/>
      <w:cols w:space="720" w:num="1"/>
      <w:docGrid w:type="linesAndChars" w:linePitch="579"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Verdana">
    <w:altName w:val="Noto Naskh Arabic"/>
    <w:panose1 w:val="020B0604030504040204"/>
    <w:charset w:val="00"/>
    <w:family w:val="swiss"/>
    <w:pitch w:val="default"/>
    <w:sig w:usb0="00000000" w:usb1="00000000" w:usb2="00000010" w:usb3="00000000" w:csb0="2000019F" w:csb1="00000000"/>
  </w:font>
  <w:font w:name="Noto Naskh Arabic">
    <w:panose1 w:val="020B0502040504020204"/>
    <w:charset w:val="00"/>
    <w:family w:val="auto"/>
    <w:pitch w:val="default"/>
    <w:sig w:usb0="80002003" w:usb1="80002000" w:usb2="00000008" w:usb3="00000000" w:csb0="00000041" w:csb1="000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qVKztYAAAAGAQAADwAAAAAA&#10;AAABACAAAAA4AAAAZHJzL2Rvd25yZXYueG1sUEsBAhQAFAAAAAgAh07iQJnUx2E4AgAAawQAAA4A&#10;AAAAAAAAAQAgAAAAOwEAAGRycy9lMm9Eb2MueG1sUEsFBgAAAAAGAAYAWQEAAOUFAAAAAA==&#10;">
              <v:fill on="f" focussize="0,0"/>
              <v:stroke on="f" weight="0.5pt"/>
              <v:imagedata o:title=""/>
              <o:lock v:ext="edit" aspectratio="f"/>
              <v:textbox inset="16pt,0mm,16pt,0mm" style="mso-fit-shape-to-text:t;">
                <w:txbxContent>
                  <w:p>
                    <w:pPr>
                      <w:pStyle w:val="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qVKztYAAAAGAQAADwAAAAAA&#10;AAABACAAAAA4AAAAZHJzL2Rvd25yZXYueG1sUEsBAhQAFAAAAAgAh07iQMyfLg04AgAAawQAAA4A&#10;AAAAAAAAAQAgAAAAOwEAAGRycy9lMm9Eb2MueG1sUEsFBgAAAAAGAAYAWQEAAOUFAAAAAA==&#10;">
              <v:fill on="f" focussize="0,0"/>
              <v:stroke on="f" weight="0.5pt"/>
              <v:imagedata o:title=""/>
              <o:lock v:ext="edit" aspectratio="f"/>
              <v:textbox inset="16pt,0mm,16pt,0mm" style="mso-fit-shape-to-text:t;">
                <w:txbxContent>
                  <w:p>
                    <w:pPr>
                      <w:pStyle w:val="14"/>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360"/>
  <w:drawingGridVerticalSpacing w:val="29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2YzJmZDU5MmRlYWFlZDVmY2FhNTQ1YjM5NGI0NmMifQ=="/>
  </w:docVars>
  <w:rsids>
    <w:rsidRoot w:val="00CC237B"/>
    <w:rsid w:val="000018D0"/>
    <w:rsid w:val="0000697A"/>
    <w:rsid w:val="000101DE"/>
    <w:rsid w:val="0001603D"/>
    <w:rsid w:val="00031595"/>
    <w:rsid w:val="00031B5F"/>
    <w:rsid w:val="000440BC"/>
    <w:rsid w:val="00050947"/>
    <w:rsid w:val="00063670"/>
    <w:rsid w:val="00074BF8"/>
    <w:rsid w:val="000B2C5E"/>
    <w:rsid w:val="000E000B"/>
    <w:rsid w:val="000E711D"/>
    <w:rsid w:val="000F1E9E"/>
    <w:rsid w:val="000F7A88"/>
    <w:rsid w:val="00105FD9"/>
    <w:rsid w:val="0011746E"/>
    <w:rsid w:val="00136EA0"/>
    <w:rsid w:val="00170373"/>
    <w:rsid w:val="0017316D"/>
    <w:rsid w:val="00186866"/>
    <w:rsid w:val="001C502D"/>
    <w:rsid w:val="001D45FB"/>
    <w:rsid w:val="001E798C"/>
    <w:rsid w:val="001F572E"/>
    <w:rsid w:val="002038F0"/>
    <w:rsid w:val="00233004"/>
    <w:rsid w:val="00262EBD"/>
    <w:rsid w:val="002733E7"/>
    <w:rsid w:val="00280AE9"/>
    <w:rsid w:val="00281580"/>
    <w:rsid w:val="002915B4"/>
    <w:rsid w:val="002B10A8"/>
    <w:rsid w:val="002E5F60"/>
    <w:rsid w:val="00310D96"/>
    <w:rsid w:val="00316AFD"/>
    <w:rsid w:val="00316D5E"/>
    <w:rsid w:val="00327F5F"/>
    <w:rsid w:val="0033063C"/>
    <w:rsid w:val="00344548"/>
    <w:rsid w:val="003542D4"/>
    <w:rsid w:val="00364934"/>
    <w:rsid w:val="00382863"/>
    <w:rsid w:val="00387835"/>
    <w:rsid w:val="003A4C7D"/>
    <w:rsid w:val="003A7430"/>
    <w:rsid w:val="003B0C27"/>
    <w:rsid w:val="003C1609"/>
    <w:rsid w:val="003D4C12"/>
    <w:rsid w:val="003E7B25"/>
    <w:rsid w:val="004009B7"/>
    <w:rsid w:val="0040781C"/>
    <w:rsid w:val="004517A8"/>
    <w:rsid w:val="00466D7C"/>
    <w:rsid w:val="004757EB"/>
    <w:rsid w:val="004824E1"/>
    <w:rsid w:val="004936A3"/>
    <w:rsid w:val="0049556C"/>
    <w:rsid w:val="004967E4"/>
    <w:rsid w:val="004B59E3"/>
    <w:rsid w:val="004D2E73"/>
    <w:rsid w:val="004E01C9"/>
    <w:rsid w:val="004F04F5"/>
    <w:rsid w:val="004F0F6E"/>
    <w:rsid w:val="004F459C"/>
    <w:rsid w:val="004F5339"/>
    <w:rsid w:val="004F72E4"/>
    <w:rsid w:val="00503D95"/>
    <w:rsid w:val="00534D5E"/>
    <w:rsid w:val="00552917"/>
    <w:rsid w:val="005656C0"/>
    <w:rsid w:val="00586FD9"/>
    <w:rsid w:val="00592B14"/>
    <w:rsid w:val="005A428E"/>
    <w:rsid w:val="00600B7E"/>
    <w:rsid w:val="00601FD5"/>
    <w:rsid w:val="00615A82"/>
    <w:rsid w:val="006401E1"/>
    <w:rsid w:val="00643DE0"/>
    <w:rsid w:val="00645F9A"/>
    <w:rsid w:val="0064671D"/>
    <w:rsid w:val="0066006F"/>
    <w:rsid w:val="006665E5"/>
    <w:rsid w:val="00685729"/>
    <w:rsid w:val="006A693E"/>
    <w:rsid w:val="006B0F0E"/>
    <w:rsid w:val="006E0FEB"/>
    <w:rsid w:val="006E6543"/>
    <w:rsid w:val="00751F95"/>
    <w:rsid w:val="0076668D"/>
    <w:rsid w:val="00773825"/>
    <w:rsid w:val="007A75A9"/>
    <w:rsid w:val="007B7D2A"/>
    <w:rsid w:val="007D16FB"/>
    <w:rsid w:val="007D6DF5"/>
    <w:rsid w:val="00800F61"/>
    <w:rsid w:val="00811530"/>
    <w:rsid w:val="00885D31"/>
    <w:rsid w:val="0089004D"/>
    <w:rsid w:val="008A7D4E"/>
    <w:rsid w:val="008E04B3"/>
    <w:rsid w:val="009776E3"/>
    <w:rsid w:val="00984132"/>
    <w:rsid w:val="009B777E"/>
    <w:rsid w:val="009D3972"/>
    <w:rsid w:val="009E750A"/>
    <w:rsid w:val="00A111C2"/>
    <w:rsid w:val="00A267EB"/>
    <w:rsid w:val="00A30D85"/>
    <w:rsid w:val="00A33AA9"/>
    <w:rsid w:val="00A6303A"/>
    <w:rsid w:val="00A97562"/>
    <w:rsid w:val="00AA0140"/>
    <w:rsid w:val="00AB3249"/>
    <w:rsid w:val="00AE47E9"/>
    <w:rsid w:val="00AE6FBD"/>
    <w:rsid w:val="00B1275C"/>
    <w:rsid w:val="00B22D9C"/>
    <w:rsid w:val="00B41CE1"/>
    <w:rsid w:val="00B426FE"/>
    <w:rsid w:val="00B43CF3"/>
    <w:rsid w:val="00B501B4"/>
    <w:rsid w:val="00B53107"/>
    <w:rsid w:val="00B53929"/>
    <w:rsid w:val="00B6475F"/>
    <w:rsid w:val="00BC3A5F"/>
    <w:rsid w:val="00BC665B"/>
    <w:rsid w:val="00BF20BD"/>
    <w:rsid w:val="00BF628A"/>
    <w:rsid w:val="00C00AAE"/>
    <w:rsid w:val="00C07B66"/>
    <w:rsid w:val="00C309ED"/>
    <w:rsid w:val="00C36D6B"/>
    <w:rsid w:val="00C37C9A"/>
    <w:rsid w:val="00C464FE"/>
    <w:rsid w:val="00C50B30"/>
    <w:rsid w:val="00C520A3"/>
    <w:rsid w:val="00C52C57"/>
    <w:rsid w:val="00C76665"/>
    <w:rsid w:val="00C77F80"/>
    <w:rsid w:val="00C80DD1"/>
    <w:rsid w:val="00C80FD7"/>
    <w:rsid w:val="00CA7D19"/>
    <w:rsid w:val="00CB00A8"/>
    <w:rsid w:val="00CC237B"/>
    <w:rsid w:val="00CC4087"/>
    <w:rsid w:val="00D15404"/>
    <w:rsid w:val="00D42C9E"/>
    <w:rsid w:val="00D55B66"/>
    <w:rsid w:val="00D64538"/>
    <w:rsid w:val="00D87A9D"/>
    <w:rsid w:val="00D907BB"/>
    <w:rsid w:val="00DA6D90"/>
    <w:rsid w:val="00DC4E0B"/>
    <w:rsid w:val="00DE7349"/>
    <w:rsid w:val="00E31AE3"/>
    <w:rsid w:val="00E41D86"/>
    <w:rsid w:val="00E46798"/>
    <w:rsid w:val="00E60A47"/>
    <w:rsid w:val="00E63B90"/>
    <w:rsid w:val="00E7236E"/>
    <w:rsid w:val="00E968F6"/>
    <w:rsid w:val="00EA0076"/>
    <w:rsid w:val="00EA2314"/>
    <w:rsid w:val="00EB31FE"/>
    <w:rsid w:val="00EB5FA9"/>
    <w:rsid w:val="00EC175D"/>
    <w:rsid w:val="00EC3B0E"/>
    <w:rsid w:val="00EC672E"/>
    <w:rsid w:val="00F05174"/>
    <w:rsid w:val="00F223D3"/>
    <w:rsid w:val="00F45C37"/>
    <w:rsid w:val="00F72D6E"/>
    <w:rsid w:val="00F761A8"/>
    <w:rsid w:val="00F957C8"/>
    <w:rsid w:val="00FC7E16"/>
    <w:rsid w:val="00FE3C80"/>
    <w:rsid w:val="027874D2"/>
    <w:rsid w:val="059031D3"/>
    <w:rsid w:val="05C834BA"/>
    <w:rsid w:val="099D13CA"/>
    <w:rsid w:val="0A431EFF"/>
    <w:rsid w:val="0D490A88"/>
    <w:rsid w:val="0E600A49"/>
    <w:rsid w:val="10A21A6D"/>
    <w:rsid w:val="14315CCA"/>
    <w:rsid w:val="153B4F62"/>
    <w:rsid w:val="15A3138D"/>
    <w:rsid w:val="180C6240"/>
    <w:rsid w:val="19DF5E76"/>
    <w:rsid w:val="1E4F4296"/>
    <w:rsid w:val="1F2D3BB3"/>
    <w:rsid w:val="202E0AF3"/>
    <w:rsid w:val="245048A0"/>
    <w:rsid w:val="26DA7947"/>
    <w:rsid w:val="2BCE23BF"/>
    <w:rsid w:val="2C844B9D"/>
    <w:rsid w:val="303E6406"/>
    <w:rsid w:val="30D111F8"/>
    <w:rsid w:val="320E5BCC"/>
    <w:rsid w:val="321A5401"/>
    <w:rsid w:val="34432EFF"/>
    <w:rsid w:val="35233EBA"/>
    <w:rsid w:val="35F74F1B"/>
    <w:rsid w:val="38A06489"/>
    <w:rsid w:val="3BBA6C94"/>
    <w:rsid w:val="40B75C70"/>
    <w:rsid w:val="40F17796"/>
    <w:rsid w:val="418703FD"/>
    <w:rsid w:val="41B2530F"/>
    <w:rsid w:val="4A16286A"/>
    <w:rsid w:val="4C692D12"/>
    <w:rsid w:val="4CC1705B"/>
    <w:rsid w:val="51431CEE"/>
    <w:rsid w:val="552B28E7"/>
    <w:rsid w:val="55AD068B"/>
    <w:rsid w:val="55B81E37"/>
    <w:rsid w:val="57253871"/>
    <w:rsid w:val="5AB73F2C"/>
    <w:rsid w:val="5B386C37"/>
    <w:rsid w:val="5B663E56"/>
    <w:rsid w:val="603F5948"/>
    <w:rsid w:val="65074F36"/>
    <w:rsid w:val="68020A07"/>
    <w:rsid w:val="6BD7511A"/>
    <w:rsid w:val="6C7201B5"/>
    <w:rsid w:val="6D3C739E"/>
    <w:rsid w:val="6E791C32"/>
    <w:rsid w:val="70637B48"/>
    <w:rsid w:val="7392309D"/>
    <w:rsid w:val="782F48B1"/>
    <w:rsid w:val="789B6944"/>
    <w:rsid w:val="78EA3F64"/>
    <w:rsid w:val="79A95358"/>
    <w:rsid w:val="79C64B9D"/>
    <w:rsid w:val="7AEF627C"/>
    <w:rsid w:val="7DD47EED"/>
    <w:rsid w:val="7F2F69CE"/>
    <w:rsid w:val="EFFF2F5B"/>
    <w:rsid w:val="FB67494B"/>
    <w:rsid w:val="FDF38D7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仿宋" w:hAnsi="宋体" w:eastAsia="仿宋" w:cs="Times New Roman"/>
      <w:snapToGrid w:val="0"/>
      <w:spacing w:val="20"/>
      <w:sz w:val="32"/>
      <w:szCs w:val="24"/>
      <w:lang w:val="en-US" w:eastAsia="zh-CN" w:bidi="ar-SA"/>
    </w:rPr>
  </w:style>
  <w:style w:type="paragraph" w:styleId="2">
    <w:name w:val="heading 1"/>
    <w:next w:val="1"/>
    <w:qFormat/>
    <w:uiPriority w:val="9"/>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8"/>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 w:cs="楷体"/>
      <w:sz w:val="32"/>
      <w:szCs w:val="32"/>
    </w:rPr>
  </w:style>
  <w:style w:type="paragraph" w:styleId="4">
    <w:name w:val="heading 3"/>
    <w:next w:val="1"/>
    <w:semiHidden/>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 w:cs="仿宋"/>
      <w:sz w:val="32"/>
      <w:szCs w:val="32"/>
    </w:rPr>
  </w:style>
  <w:style w:type="paragraph" w:styleId="5">
    <w:name w:val="heading 4"/>
    <w:next w:val="1"/>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 w:cs="仿宋"/>
      <w:sz w:val="32"/>
      <w:szCs w:val="32"/>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 w:cs="仿宋"/>
      <w:sz w:val="32"/>
      <w:szCs w:val="32"/>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 w:cs="仿宋"/>
      <w:sz w:val="32"/>
      <w:szCs w:val="32"/>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 w:cs="仿宋"/>
      <w:sz w:val="32"/>
      <w:szCs w:val="32"/>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 w:cs="仿宋"/>
      <w:sz w:val="32"/>
      <w:szCs w:val="32"/>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 w:cs="仿宋"/>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11">
    <w:name w:val="table of authorities"/>
    <w:basedOn w:val="1"/>
    <w:next w:val="1"/>
    <w:unhideWhenUsed/>
    <w:qFormat/>
    <w:uiPriority w:val="99"/>
    <w:pPr>
      <w:ind w:left="420" w:leftChars="200"/>
    </w:pPr>
    <w:rPr>
      <w:rFonts w:ascii="Calibri" w:hAnsi="Calibri" w:eastAsia="宋体" w:cs="Times New Roman"/>
    </w:rPr>
  </w:style>
  <w:style w:type="paragraph" w:styleId="12">
    <w:name w:val="Body Text"/>
    <w:next w:val="1"/>
    <w:unhideWhenUsed/>
    <w:qFormat/>
    <w:uiPriority w:val="99"/>
    <w:pPr>
      <w:spacing w:line="560" w:lineRule="exact"/>
      <w:ind w:firstLine="630" w:firstLineChars="200"/>
      <w:jc w:val="both"/>
    </w:pPr>
    <w:rPr>
      <w:rFonts w:ascii="Times New Roman" w:hAnsi="Times New Roman" w:eastAsia="仿宋" w:cs="仿宋"/>
      <w:spacing w:val="-6"/>
      <w:sz w:val="32"/>
      <w:szCs w:val="32"/>
    </w:rPr>
  </w:style>
  <w:style w:type="paragraph" w:styleId="13">
    <w:name w:val="Body Text Indent"/>
    <w:basedOn w:val="1"/>
    <w:unhideWhenUsed/>
    <w:qFormat/>
    <w:uiPriority w:val="99"/>
    <w:pPr>
      <w:spacing w:beforeLines="0" w:afterLines="0" w:line="560" w:lineRule="exact"/>
      <w:ind w:firstLine="960" w:firstLineChars="300"/>
    </w:pPr>
    <w:rPr>
      <w:rFonts w:hint="default" w:ascii="Times New Roman"/>
      <w:sz w:val="32"/>
    </w:rPr>
  </w:style>
  <w:style w:type="paragraph" w:styleId="14">
    <w:name w:val="footer"/>
    <w:basedOn w:val="1"/>
    <w:link w:val="23"/>
    <w:unhideWhenUsed/>
    <w:qFormat/>
    <w:uiPriority w:val="99"/>
    <w:pPr>
      <w:tabs>
        <w:tab w:val="center" w:pos="4153"/>
        <w:tab w:val="right" w:pos="8306"/>
      </w:tabs>
      <w:spacing w:line="240" w:lineRule="atLeast"/>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16">
    <w:name w:val="Subtitle"/>
    <w:qFormat/>
    <w:uiPriority w:val="11"/>
    <w:pPr>
      <w:spacing w:beforeLines="0" w:beforeAutospacing="0" w:afterLines="0" w:afterAutospacing="0" w:line="720" w:lineRule="exact"/>
      <w:jc w:val="center"/>
      <w:outlineLvl w:val="9"/>
    </w:pPr>
    <w:rPr>
      <w:rFonts w:ascii="Times New Roman" w:hAnsi="Times New Roman" w:eastAsia="仿宋" w:cs="仿宋"/>
      <w:kern w:val="28"/>
      <w:sz w:val="32"/>
      <w:szCs w:val="32"/>
    </w:rPr>
  </w:style>
  <w:style w:type="paragraph" w:styleId="1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8">
    <w:name w:val="Title"/>
    <w:qFormat/>
    <w:uiPriority w:val="10"/>
    <w:pPr>
      <w:spacing w:line="720" w:lineRule="exact"/>
      <w:jc w:val="center"/>
      <w:outlineLvl w:val="9"/>
    </w:pPr>
    <w:rPr>
      <w:rFonts w:ascii="方正小标宋_GBK" w:hAnsi="方正小标宋_GBK" w:eastAsia="方正小标宋_GBK" w:cs="方正小标宋_GBK"/>
      <w:sz w:val="44"/>
      <w:szCs w:val="44"/>
    </w:rPr>
  </w:style>
  <w:style w:type="paragraph" w:styleId="19">
    <w:name w:val="Body Text First Indent 2"/>
    <w:basedOn w:val="13"/>
    <w:unhideWhenUsed/>
    <w:qFormat/>
    <w:uiPriority w:val="99"/>
    <w:pPr>
      <w:spacing w:beforeLines="0" w:afterLines="0"/>
      <w:ind w:firstLine="420"/>
    </w:pPr>
    <w:rPr>
      <w:rFonts w:hint="default"/>
      <w:sz w:val="32"/>
    </w:rPr>
  </w:style>
  <w:style w:type="character" w:styleId="22">
    <w:name w:val="Strong"/>
    <w:basedOn w:val="21"/>
    <w:qFormat/>
    <w:uiPriority w:val="0"/>
    <w:rPr>
      <w:b/>
    </w:rPr>
  </w:style>
  <w:style w:type="character" w:customStyle="1" w:styleId="23">
    <w:name w:val="页脚 Char"/>
    <w:basedOn w:val="21"/>
    <w:link w:val="14"/>
    <w:qFormat/>
    <w:uiPriority w:val="99"/>
    <w:rPr>
      <w:rFonts w:ascii="仿宋" w:hAnsi="宋体" w:eastAsia="仿宋" w:cs="Times New Roman"/>
      <w:snapToGrid w:val="0"/>
      <w:spacing w:val="20"/>
      <w:kern w:val="0"/>
      <w:sz w:val="18"/>
      <w:szCs w:val="18"/>
    </w:rPr>
  </w:style>
  <w:style w:type="character" w:customStyle="1" w:styleId="24">
    <w:name w:val="页眉 Char"/>
    <w:basedOn w:val="21"/>
    <w:link w:val="15"/>
    <w:semiHidden/>
    <w:qFormat/>
    <w:uiPriority w:val="99"/>
    <w:rPr>
      <w:rFonts w:ascii="仿宋" w:hAnsi="宋体" w:eastAsia="仿宋" w:cs="Times New Roman"/>
      <w:snapToGrid w:val="0"/>
      <w:spacing w:val="20"/>
      <w:kern w:val="0"/>
      <w:sz w:val="18"/>
      <w:szCs w:val="18"/>
    </w:rPr>
  </w:style>
  <w:style w:type="paragraph" w:styleId="25">
    <w:name w:val="List Paragraph"/>
    <w:basedOn w:val="1"/>
    <w:qFormat/>
    <w:uiPriority w:val="34"/>
    <w:pPr>
      <w:ind w:firstLine="420" w:firstLineChars="200"/>
    </w:pPr>
  </w:style>
  <w:style w:type="paragraph" w:customStyle="1" w:styleId="26">
    <w:name w:val="Char"/>
    <w:basedOn w:val="1"/>
    <w:qFormat/>
    <w:uiPriority w:val="0"/>
    <w:pPr>
      <w:widowControl/>
      <w:suppressLineNumbers w:val="0"/>
      <w:adjustRightInd/>
      <w:snapToGrid/>
      <w:spacing w:after="160" w:line="240" w:lineRule="exact"/>
      <w:jc w:val="left"/>
    </w:pPr>
    <w:rPr>
      <w:rFonts w:ascii="Verdana" w:hAnsi="Verdana"/>
      <w:snapToGrid/>
      <w:spacing w:val="0"/>
      <w:sz w:val="24"/>
      <w:szCs w:val="20"/>
      <w:lang w:eastAsia="en-US"/>
    </w:rPr>
  </w:style>
  <w:style w:type="paragraph" w:customStyle="1" w:styleId="27">
    <w:name w:val="主送对象"/>
    <w:next w:val="1"/>
    <w:qFormat/>
    <w:uiPriority w:val="0"/>
    <w:pPr>
      <w:spacing w:line="560" w:lineRule="exact"/>
    </w:pPr>
    <w:rPr>
      <w:rFonts w:ascii="Times New Roman" w:hAnsi="Times New Roman" w:eastAsia="仿宋" w:cs="仿宋"/>
      <w:sz w:val="32"/>
      <w:szCs w:val="32"/>
    </w:rPr>
  </w:style>
  <w:style w:type="character" w:customStyle="1" w:styleId="28">
    <w:name w:val="标题 2 Char"/>
    <w:link w:val="3"/>
    <w:qFormat/>
    <w:uiPriority w:val="9"/>
    <w:rPr>
      <w:rFonts w:ascii="Times New Roman" w:hAnsi="Times New Roman" w:eastAsia="楷体" w:cs="楷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5</Pages>
  <Words>2188</Words>
  <Characters>2250</Characters>
  <Lines>45</Lines>
  <Paragraphs>21</Paragraphs>
  <TotalTime>1</TotalTime>
  <ScaleCrop>false</ScaleCrop>
  <LinksUpToDate>false</LinksUpToDate>
  <CharactersWithSpaces>2269</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2019-03-15T17:56:00Z</dcterms:created>
  <dc:creator>liya</dc:creator>
  <cp:lastModifiedBy>美丽高挑大补丸</cp:lastModifiedBy>
  <cp:lastPrinted>2021-03-23T18:16:00Z</cp:lastPrinted>
  <dcterms:modified xsi:type="dcterms:W3CDTF">2026-03-30T16:28:58Z</dcterms:modified>
  <dc:title>中山市卫生健康局2023年行政许可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81CADF72EBA311875026CA697512CBFA_43</vt:lpwstr>
  </property>
  <property fmtid="{D5CDD505-2E9C-101B-9397-08002B2CF9AE}" pid="4" name="KSOTemplateDocerSaveRecord">
    <vt:lpwstr>eyJoZGlkIjoiNTk1YTU0OGQ1MjZmOTNhMTZlODUxZWQzMDJmYTE4NGIiLCJ1c2VySWQiOiI0MjQyNDM2MzEifQ==</vt:lpwstr>
  </property>
</Properties>
</file>